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76" w:type="dxa"/>
        <w:tblLook w:val="01E0" w:firstRow="1" w:lastRow="1" w:firstColumn="1" w:lastColumn="1" w:noHBand="0" w:noVBand="0"/>
      </w:tblPr>
      <w:tblGrid>
        <w:gridCol w:w="4699"/>
        <w:gridCol w:w="4832"/>
      </w:tblGrid>
      <w:tr w:rsidR="00D170D9" w:rsidRPr="00206687" w14:paraId="3F876956" w14:textId="77777777" w:rsidTr="001B4690">
        <w:tc>
          <w:tcPr>
            <w:tcW w:w="4803" w:type="dxa"/>
          </w:tcPr>
          <w:p w14:paraId="77994195" w14:textId="77777777" w:rsidR="00D170D9" w:rsidRPr="00206687" w:rsidRDefault="00D170D9" w:rsidP="00D170D9">
            <w:pPr>
              <w:spacing w:after="0"/>
              <w:rPr>
                <w:noProof/>
                <w:szCs w:val="28"/>
                <w:lang w:val="nl-NL"/>
              </w:rPr>
            </w:pPr>
            <w:r w:rsidRPr="00206687">
              <w:rPr>
                <w:noProof/>
                <w:szCs w:val="28"/>
                <w:lang w:val="nl-NL"/>
              </w:rPr>
              <w:t xml:space="preserve">  </w:t>
            </w:r>
            <w:r>
              <w:rPr>
                <w:noProof/>
                <w:szCs w:val="28"/>
                <w:lang w:val="nl-NL"/>
              </w:rPr>
              <w:t>ĐẢNG BỘ TỈNH KON TUM</w:t>
            </w:r>
          </w:p>
        </w:tc>
        <w:tc>
          <w:tcPr>
            <w:tcW w:w="4944" w:type="dxa"/>
          </w:tcPr>
          <w:p w14:paraId="4D75E963" w14:textId="1353D415" w:rsidR="00D170D9" w:rsidRPr="00206687" w:rsidRDefault="00D170D9" w:rsidP="001B4690">
            <w:pPr>
              <w:spacing w:after="0"/>
              <w:jc w:val="right"/>
              <w:rPr>
                <w:b/>
                <w:noProof/>
                <w:sz w:val="30"/>
                <w:szCs w:val="30"/>
                <w:lang w:val="nl-NL"/>
              </w:rPr>
            </w:pPr>
            <w:r w:rsidRPr="00206687">
              <w:rPr>
                <w:noProof/>
              </w:rPr>
              <mc:AlternateContent>
                <mc:Choice Requires="wps">
                  <w:drawing>
                    <wp:anchor distT="4294967295" distB="4294967295" distL="114300" distR="114300" simplePos="0" relativeHeight="251659264" behindDoc="0" locked="0" layoutInCell="1" allowOverlap="1" wp14:anchorId="71D6BAD5" wp14:editId="4BE1DA33">
                      <wp:simplePos x="0" y="0"/>
                      <wp:positionH relativeFrom="column">
                        <wp:posOffset>355600</wp:posOffset>
                      </wp:positionH>
                      <wp:positionV relativeFrom="paragraph">
                        <wp:posOffset>216852</wp:posOffset>
                      </wp:positionV>
                      <wp:extent cx="2590800" cy="4763"/>
                      <wp:effectExtent l="0" t="0" r="19050" b="336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0" cy="4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7ACE9"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7.05pt" to="23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"/>
                  </w:pict>
                </mc:Fallback>
              </mc:AlternateContent>
            </w:r>
            <w:r w:rsidRPr="00206687">
              <w:rPr>
                <w:b/>
                <w:noProof/>
                <w:szCs w:val="28"/>
                <w:lang w:val="nl-NL"/>
              </w:rPr>
              <w:t xml:space="preserve">     </w:t>
            </w:r>
            <w:r w:rsidRPr="00206687">
              <w:rPr>
                <w:b/>
                <w:noProof/>
                <w:sz w:val="30"/>
                <w:szCs w:val="30"/>
                <w:lang w:val="nl-NL"/>
              </w:rPr>
              <w:t>ĐẢNG CỘNG SẢN</w:t>
            </w:r>
            <w:r>
              <w:rPr>
                <w:b/>
                <w:noProof/>
                <w:sz w:val="30"/>
                <w:szCs w:val="30"/>
                <w:lang w:val="nl-NL"/>
              </w:rPr>
              <w:t xml:space="preserve"> </w:t>
            </w:r>
            <w:r w:rsidRPr="00206687">
              <w:rPr>
                <w:b/>
                <w:noProof/>
                <w:sz w:val="30"/>
                <w:szCs w:val="30"/>
                <w:lang w:val="nl-NL"/>
              </w:rPr>
              <w:t>VIỆT NAM</w:t>
            </w:r>
          </w:p>
        </w:tc>
      </w:tr>
      <w:tr w:rsidR="00D170D9" w:rsidRPr="00206687" w14:paraId="59D5F022" w14:textId="77777777" w:rsidTr="001B4690">
        <w:tc>
          <w:tcPr>
            <w:tcW w:w="4803" w:type="dxa"/>
          </w:tcPr>
          <w:p w14:paraId="48E0D113" w14:textId="77777777" w:rsidR="00D170D9" w:rsidRPr="00206687" w:rsidRDefault="00D170D9" w:rsidP="001B4690">
            <w:pPr>
              <w:spacing w:after="0"/>
              <w:rPr>
                <w:b/>
                <w:noProof/>
                <w:szCs w:val="28"/>
                <w:lang w:val="nl-NL"/>
              </w:rPr>
            </w:pPr>
            <w:r w:rsidRPr="00206687">
              <w:rPr>
                <w:b/>
                <w:noProof/>
                <w:szCs w:val="28"/>
                <w:lang w:val="nl-NL"/>
              </w:rPr>
              <w:t xml:space="preserve">   </w:t>
            </w:r>
            <w:r w:rsidRPr="00206687">
              <w:rPr>
                <w:b/>
                <w:noProof/>
                <w:szCs w:val="28"/>
                <w:lang w:val="vi-VN"/>
              </w:rPr>
              <w:t xml:space="preserve"> </w:t>
            </w:r>
            <w:r w:rsidRPr="00206687">
              <w:rPr>
                <w:b/>
                <w:noProof/>
                <w:szCs w:val="28"/>
              </w:rPr>
              <w:t xml:space="preserve"> </w:t>
            </w:r>
            <w:r>
              <w:rPr>
                <w:b/>
                <w:noProof/>
                <w:szCs w:val="28"/>
                <w:lang w:val="nl-NL"/>
              </w:rPr>
              <w:t>HUYỆN ỦY IA H’DRAI</w:t>
            </w:r>
          </w:p>
          <w:p w14:paraId="73C18EA8" w14:textId="77777777" w:rsidR="00D170D9" w:rsidRPr="00206687" w:rsidRDefault="00D170D9" w:rsidP="001B4690">
            <w:pPr>
              <w:spacing w:after="0"/>
              <w:rPr>
                <w:b/>
                <w:noProof/>
                <w:szCs w:val="28"/>
                <w:lang w:val="nl-NL"/>
              </w:rPr>
            </w:pPr>
            <w:r w:rsidRPr="00206687">
              <w:rPr>
                <w:b/>
                <w:noProof/>
                <w:szCs w:val="28"/>
                <w:lang w:val="nl-NL"/>
              </w:rPr>
              <w:t xml:space="preserve">                  </w:t>
            </w:r>
            <w:r w:rsidR="00410DDA">
              <w:rPr>
                <w:b/>
                <w:noProof/>
                <w:szCs w:val="28"/>
                <w:lang w:val="nl-NL"/>
              </w:rPr>
              <w:t xml:space="preserve">     </w:t>
            </w:r>
            <w:r w:rsidRPr="00206687">
              <w:rPr>
                <w:b/>
                <w:noProof/>
                <w:szCs w:val="28"/>
                <w:lang w:val="nl-NL"/>
              </w:rPr>
              <w:t xml:space="preserve"> *</w:t>
            </w:r>
          </w:p>
        </w:tc>
        <w:tc>
          <w:tcPr>
            <w:tcW w:w="4944" w:type="dxa"/>
          </w:tcPr>
          <w:p w14:paraId="638AAB2E" w14:textId="77777777" w:rsidR="00D170D9" w:rsidRPr="00206687" w:rsidRDefault="00D170D9" w:rsidP="00AE2E4C">
            <w:pPr>
              <w:spacing w:after="0"/>
              <w:jc w:val="right"/>
              <w:rPr>
                <w:i/>
                <w:noProof/>
                <w:szCs w:val="28"/>
                <w:lang w:val="nl-NL"/>
              </w:rPr>
            </w:pPr>
            <w:r>
              <w:rPr>
                <w:i/>
                <w:noProof/>
                <w:szCs w:val="28"/>
                <w:lang w:val="nl-NL"/>
              </w:rPr>
              <w:t xml:space="preserve">  Ia H’Drai, ngày 3</w:t>
            </w:r>
            <w:r w:rsidR="00AE2E4C">
              <w:rPr>
                <w:i/>
                <w:noProof/>
                <w:szCs w:val="28"/>
                <w:lang w:val="nl-NL"/>
              </w:rPr>
              <w:t>1</w:t>
            </w:r>
            <w:r>
              <w:rPr>
                <w:i/>
                <w:noProof/>
                <w:szCs w:val="28"/>
                <w:lang w:val="nl-NL"/>
              </w:rPr>
              <w:t xml:space="preserve"> t</w:t>
            </w:r>
            <w:r w:rsidRPr="00206687">
              <w:rPr>
                <w:i/>
                <w:noProof/>
                <w:szCs w:val="28"/>
                <w:lang w:val="nl-NL"/>
              </w:rPr>
              <w:t xml:space="preserve">háng </w:t>
            </w:r>
            <w:r>
              <w:rPr>
                <w:i/>
                <w:noProof/>
                <w:szCs w:val="28"/>
                <w:lang w:val="nl-NL"/>
              </w:rPr>
              <w:t>12</w:t>
            </w:r>
            <w:r w:rsidRPr="00206687">
              <w:rPr>
                <w:i/>
                <w:noProof/>
                <w:szCs w:val="28"/>
                <w:lang w:val="nl-NL"/>
              </w:rPr>
              <w:t xml:space="preserve"> năm 2024</w:t>
            </w:r>
          </w:p>
        </w:tc>
      </w:tr>
      <w:tr w:rsidR="00D170D9" w:rsidRPr="00206687" w14:paraId="20056D32" w14:textId="77777777" w:rsidTr="001B4690">
        <w:tc>
          <w:tcPr>
            <w:tcW w:w="4803" w:type="dxa"/>
          </w:tcPr>
          <w:p w14:paraId="7F6A1BD1" w14:textId="77777777" w:rsidR="00D170D9" w:rsidRPr="00206687" w:rsidRDefault="00D170D9" w:rsidP="001B4690">
            <w:pPr>
              <w:spacing w:after="0" w:line="240" w:lineRule="auto"/>
              <w:rPr>
                <w:noProof/>
                <w:szCs w:val="28"/>
                <w:lang w:val="nl-NL"/>
              </w:rPr>
            </w:pPr>
            <w:r w:rsidRPr="00206687">
              <w:rPr>
                <w:noProof/>
                <w:lang w:val="nl-NL"/>
              </w:rPr>
              <w:t xml:space="preserve">    </w:t>
            </w:r>
            <w:r w:rsidR="00410DDA">
              <w:rPr>
                <w:noProof/>
                <w:lang w:val="nl-NL"/>
              </w:rPr>
              <w:t xml:space="preserve">        </w:t>
            </w:r>
            <w:r w:rsidRPr="00206687">
              <w:rPr>
                <w:noProof/>
                <w:lang w:val="nl-NL"/>
              </w:rPr>
              <w:t xml:space="preserve"> </w:t>
            </w:r>
            <w:r w:rsidRPr="00206687">
              <w:rPr>
                <w:noProof/>
                <w:szCs w:val="28"/>
                <w:lang w:val="nl-NL"/>
              </w:rPr>
              <w:t xml:space="preserve">Số </w:t>
            </w:r>
            <w:r w:rsidR="004222E8">
              <w:rPr>
                <w:noProof/>
                <w:szCs w:val="28"/>
                <w:lang w:val="nl-NL"/>
              </w:rPr>
              <w:t>1733</w:t>
            </w:r>
            <w:r w:rsidRPr="00206687">
              <w:rPr>
                <w:noProof/>
                <w:szCs w:val="28"/>
                <w:lang w:val="nl-NL"/>
              </w:rPr>
              <w:t>- CV/HU</w:t>
            </w:r>
          </w:p>
          <w:p w14:paraId="24BA2E78" w14:textId="77777777" w:rsidR="00D170D9" w:rsidRPr="00901A46" w:rsidRDefault="00D170D9" w:rsidP="00FE528E">
            <w:pPr>
              <w:spacing w:after="0" w:line="240" w:lineRule="auto"/>
              <w:ind w:left="176"/>
              <w:jc w:val="both"/>
              <w:rPr>
                <w:i/>
                <w:noProof/>
                <w:sz w:val="24"/>
                <w:szCs w:val="24"/>
                <w:lang w:val="nl-NL"/>
              </w:rPr>
            </w:pPr>
            <w:r>
              <w:rPr>
                <w:i/>
                <w:noProof/>
                <w:sz w:val="24"/>
                <w:szCs w:val="24"/>
                <w:lang w:val="nl-NL"/>
              </w:rPr>
              <w:t xml:space="preserve">  </w:t>
            </w:r>
            <w:r w:rsidRPr="00901A46">
              <w:rPr>
                <w:i/>
                <w:noProof/>
                <w:sz w:val="24"/>
                <w:szCs w:val="24"/>
                <w:lang w:val="nl-NL"/>
              </w:rPr>
              <w:t xml:space="preserve">V/v </w:t>
            </w:r>
            <w:r w:rsidR="00FE528E">
              <w:rPr>
                <w:i/>
                <w:noProof/>
                <w:sz w:val="24"/>
                <w:szCs w:val="24"/>
                <w:lang w:val="nl-NL"/>
              </w:rPr>
              <w:t>phổ biến, quán triệt, tuyên truyền chỉ thị, kết luận của Bộ Chính trị, Ban Bí thư Trung ương Đảng</w:t>
            </w:r>
            <w:r w:rsidR="00971E72">
              <w:rPr>
                <w:i/>
                <w:noProof/>
                <w:sz w:val="24"/>
                <w:szCs w:val="24"/>
                <w:lang w:val="nl-NL"/>
              </w:rPr>
              <w:t>.</w:t>
            </w:r>
          </w:p>
        </w:tc>
        <w:tc>
          <w:tcPr>
            <w:tcW w:w="4944" w:type="dxa"/>
          </w:tcPr>
          <w:p w14:paraId="159569B8" w14:textId="77777777" w:rsidR="00D170D9" w:rsidRPr="00206687" w:rsidRDefault="00D170D9" w:rsidP="001B4690">
            <w:pPr>
              <w:spacing w:after="0"/>
              <w:rPr>
                <w:noProof/>
                <w:lang w:val="vi-VN"/>
              </w:rPr>
            </w:pPr>
          </w:p>
        </w:tc>
      </w:tr>
    </w:tbl>
    <w:p w14:paraId="0B3AD73B" w14:textId="77777777" w:rsidR="00D170D9" w:rsidRPr="00206687" w:rsidRDefault="00D170D9" w:rsidP="00D170D9">
      <w:pPr>
        <w:jc w:val="both"/>
      </w:pPr>
      <w:r w:rsidRPr="00206687">
        <w:rPr>
          <w:lang w:val="vi-VN"/>
        </w:rPr>
        <w:t xml:space="preserve"> </w:t>
      </w:r>
      <w:r w:rsidRPr="00206687">
        <w:rPr>
          <w:lang w:val="vi-VN"/>
        </w:rPr>
        <w:tab/>
      </w:r>
    </w:p>
    <w:tbl>
      <w:tblPr>
        <w:tblW w:w="8364" w:type="dxa"/>
        <w:tblInd w:w="1242" w:type="dxa"/>
        <w:tblLook w:val="01E0" w:firstRow="1" w:lastRow="1" w:firstColumn="1" w:lastColumn="1" w:noHBand="0" w:noVBand="0"/>
      </w:tblPr>
      <w:tblGrid>
        <w:gridCol w:w="2244"/>
        <w:gridCol w:w="6120"/>
      </w:tblGrid>
      <w:tr w:rsidR="00D170D9" w:rsidRPr="00206687" w14:paraId="4935BB4F" w14:textId="77777777" w:rsidTr="00211C49">
        <w:trPr>
          <w:trHeight w:val="1617"/>
        </w:trPr>
        <w:tc>
          <w:tcPr>
            <w:tcW w:w="2244" w:type="dxa"/>
          </w:tcPr>
          <w:p w14:paraId="6B5FB185" w14:textId="77777777" w:rsidR="00D170D9" w:rsidRPr="00206687" w:rsidRDefault="00D170D9" w:rsidP="001B4690">
            <w:pPr>
              <w:ind w:right="-218"/>
              <w:rPr>
                <w:i/>
                <w:szCs w:val="28"/>
                <w:lang w:val="nl-NL"/>
              </w:rPr>
            </w:pPr>
            <w:r w:rsidRPr="00206687">
              <w:rPr>
                <w:i/>
                <w:szCs w:val="28"/>
                <w:lang w:val="nl-NL"/>
              </w:rPr>
              <w:t xml:space="preserve">         Kính gửi:</w:t>
            </w:r>
          </w:p>
        </w:tc>
        <w:tc>
          <w:tcPr>
            <w:tcW w:w="6120" w:type="dxa"/>
          </w:tcPr>
          <w:p w14:paraId="512A3945" w14:textId="16C29308" w:rsidR="00CD715C" w:rsidRDefault="003C3DAB" w:rsidP="001B4690">
            <w:pPr>
              <w:spacing w:after="0" w:line="240" w:lineRule="auto"/>
              <w:ind w:left="5" w:hanging="141"/>
              <w:jc w:val="both"/>
              <w:rPr>
                <w:szCs w:val="28"/>
                <w:lang w:val="nl-NL"/>
              </w:rPr>
            </w:pPr>
            <w:r>
              <w:rPr>
                <w:szCs w:val="28"/>
                <w:lang w:val="nl-NL"/>
              </w:rPr>
              <w:t xml:space="preserve"> - </w:t>
            </w:r>
            <w:r w:rsidR="00CD715C">
              <w:rPr>
                <w:szCs w:val="28"/>
                <w:lang w:val="nl-NL"/>
              </w:rPr>
              <w:t>Ủy ban nhân dân huyện</w:t>
            </w:r>
            <w:r w:rsidR="00971E72">
              <w:rPr>
                <w:szCs w:val="28"/>
                <w:lang w:val="nl-NL"/>
              </w:rPr>
              <w:t>,</w:t>
            </w:r>
          </w:p>
          <w:p w14:paraId="5BE3F2F1" w14:textId="3A936687" w:rsidR="00D170D9" w:rsidRDefault="003C3DAB" w:rsidP="001B4690">
            <w:pPr>
              <w:spacing w:after="0" w:line="240" w:lineRule="auto"/>
              <w:ind w:left="5" w:hanging="141"/>
              <w:jc w:val="both"/>
              <w:rPr>
                <w:szCs w:val="28"/>
                <w:lang w:val="nl-NL"/>
              </w:rPr>
            </w:pPr>
            <w:r>
              <w:rPr>
                <w:szCs w:val="28"/>
                <w:lang w:val="nl-NL"/>
              </w:rPr>
              <w:t xml:space="preserve"> - </w:t>
            </w:r>
            <w:r w:rsidR="00D170D9">
              <w:rPr>
                <w:szCs w:val="28"/>
                <w:lang w:val="nl-NL"/>
              </w:rPr>
              <w:t>Ủy ban Mặt trận Tổ quốc Viêt Nam và các tổ chức chính tri-xã hội huyện,</w:t>
            </w:r>
          </w:p>
          <w:p w14:paraId="52EBF073" w14:textId="0CBB2EBD" w:rsidR="00410DDA" w:rsidRDefault="003C3DAB" w:rsidP="001B4690">
            <w:pPr>
              <w:spacing w:after="0" w:line="240" w:lineRule="auto"/>
              <w:ind w:left="5" w:hanging="141"/>
              <w:jc w:val="both"/>
              <w:rPr>
                <w:szCs w:val="28"/>
                <w:lang w:val="nl-NL"/>
              </w:rPr>
            </w:pPr>
            <w:r>
              <w:rPr>
                <w:szCs w:val="28"/>
                <w:lang w:val="nl-NL"/>
              </w:rPr>
              <w:t xml:space="preserve"> - </w:t>
            </w:r>
            <w:r w:rsidR="00410DDA">
              <w:rPr>
                <w:szCs w:val="28"/>
                <w:lang w:val="nl-NL"/>
              </w:rPr>
              <w:t>Ban Tuyên giáo Huyện ủy,</w:t>
            </w:r>
          </w:p>
          <w:p w14:paraId="40745101" w14:textId="0179D3F5" w:rsidR="00D170D9" w:rsidRDefault="003C3DAB" w:rsidP="001B4690">
            <w:pPr>
              <w:spacing w:after="0" w:line="240" w:lineRule="auto"/>
              <w:ind w:left="5" w:hanging="141"/>
              <w:jc w:val="both"/>
              <w:rPr>
                <w:szCs w:val="28"/>
                <w:lang w:val="nl-NL"/>
              </w:rPr>
            </w:pPr>
            <w:r>
              <w:rPr>
                <w:szCs w:val="28"/>
                <w:lang w:val="nl-NL"/>
              </w:rPr>
              <w:t xml:space="preserve"> - </w:t>
            </w:r>
            <w:r w:rsidR="00D170D9" w:rsidRPr="00206687">
              <w:rPr>
                <w:szCs w:val="28"/>
                <w:lang w:val="nl-NL"/>
              </w:rPr>
              <w:t>Các chi bộ, đảng bộ trực thuộc Huyện ủy</w:t>
            </w:r>
            <w:r>
              <w:rPr>
                <w:szCs w:val="28"/>
                <w:lang w:val="nl-NL"/>
              </w:rPr>
              <w:t>.</w:t>
            </w:r>
          </w:p>
          <w:p w14:paraId="49547C6A" w14:textId="335E54C2" w:rsidR="00D170D9" w:rsidRPr="00206687" w:rsidRDefault="00D170D9" w:rsidP="001B4690">
            <w:pPr>
              <w:spacing w:after="0" w:line="240" w:lineRule="auto"/>
              <w:ind w:left="5" w:hanging="141"/>
              <w:jc w:val="both"/>
              <w:rPr>
                <w:szCs w:val="28"/>
                <w:lang w:val="nl-NL"/>
              </w:rPr>
            </w:pPr>
          </w:p>
        </w:tc>
      </w:tr>
    </w:tbl>
    <w:p w14:paraId="2D5FA682" w14:textId="77777777" w:rsidR="00D170D9" w:rsidRPr="00206687" w:rsidRDefault="00D170D9" w:rsidP="00D170D9">
      <w:pPr>
        <w:spacing w:after="0"/>
        <w:jc w:val="both"/>
      </w:pPr>
    </w:p>
    <w:p w14:paraId="498396C7" w14:textId="0B1FC651" w:rsidR="00D170D9" w:rsidRPr="00AE2E4C" w:rsidRDefault="00D170D9" w:rsidP="00AE2E4C">
      <w:pPr>
        <w:spacing w:before="120" w:after="120" w:line="240" w:lineRule="auto"/>
        <w:ind w:firstLine="709"/>
        <w:jc w:val="both"/>
        <w:rPr>
          <w:bCs/>
          <w:iCs/>
        </w:rPr>
      </w:pPr>
      <w:r w:rsidRPr="00206687">
        <w:t xml:space="preserve">Thực hiện Công văn số </w:t>
      </w:r>
      <w:r>
        <w:t>2873</w:t>
      </w:r>
      <w:r w:rsidRPr="00206687">
        <w:t xml:space="preserve">-CV/BTGTU, ngày </w:t>
      </w:r>
      <w:r>
        <w:t>27-12</w:t>
      </w:r>
      <w:r w:rsidRPr="00206687">
        <w:t>-2024 của Ban Tuyên giáo Tỉnh ủy</w:t>
      </w:r>
      <w:r>
        <w:t xml:space="preserve"> </w:t>
      </w:r>
      <w:r w:rsidRPr="00D170D9">
        <w:rPr>
          <w:i/>
        </w:rPr>
        <w:t>“</w:t>
      </w:r>
      <w:r w:rsidRPr="00D170D9">
        <w:rPr>
          <w:i/>
          <w:szCs w:val="28"/>
        </w:rPr>
        <w:t xml:space="preserve">về </w:t>
      </w:r>
      <w:r w:rsidRPr="00D170D9">
        <w:rPr>
          <w:i/>
          <w:noProof/>
          <w:szCs w:val="28"/>
          <w:lang w:val="nl-NL"/>
        </w:rPr>
        <w:t xml:space="preserve">việc </w:t>
      </w:r>
      <w:r w:rsidRPr="00D170D9">
        <w:rPr>
          <w:rFonts w:cs="Times New Roman"/>
          <w:i/>
          <w:szCs w:val="28"/>
        </w:rPr>
        <w:t>phổ biến, quán triệt, tuyên truyền chỉ thị, kết luận của Bộ Chính trị, Ban Bí thư Trung ương Đảng</w:t>
      </w:r>
      <w:r w:rsidRPr="00D170D9">
        <w:rPr>
          <w:i/>
          <w:noProof/>
          <w:szCs w:val="28"/>
          <w:lang w:val="nl-NL"/>
        </w:rPr>
        <w:t>”</w:t>
      </w:r>
      <w:r>
        <w:rPr>
          <w:i/>
          <w:szCs w:val="28"/>
        </w:rPr>
        <w:t>;</w:t>
      </w:r>
      <w:r>
        <w:rPr>
          <w:bCs/>
          <w:iCs/>
        </w:rPr>
        <w:t xml:space="preserve"> </w:t>
      </w:r>
      <w:r w:rsidRPr="00206687">
        <w:rPr>
          <w:bCs/>
          <w:iCs/>
        </w:rPr>
        <w:t xml:space="preserve">Ban </w:t>
      </w:r>
      <w:r w:rsidR="00410DDA">
        <w:rPr>
          <w:bCs/>
          <w:iCs/>
        </w:rPr>
        <w:t>Th</w:t>
      </w:r>
      <w:r w:rsidR="00CD715C">
        <w:rPr>
          <w:bCs/>
          <w:iCs/>
        </w:rPr>
        <w:t>ường vụ</w:t>
      </w:r>
      <w:r w:rsidRPr="00206687">
        <w:rPr>
          <w:bCs/>
          <w:iCs/>
        </w:rPr>
        <w:t xml:space="preserve"> Huyện ủy </w:t>
      </w:r>
      <w:r w:rsidR="00CD715C">
        <w:rPr>
          <w:bCs/>
          <w:iCs/>
        </w:rPr>
        <w:t>yêu cầu</w:t>
      </w:r>
      <w:r>
        <w:rPr>
          <w:bCs/>
          <w:iCs/>
        </w:rPr>
        <w:t>:</w:t>
      </w:r>
    </w:p>
    <w:p w14:paraId="583C2A0E" w14:textId="61A8AB4E" w:rsidR="00D170D9" w:rsidRPr="00D170D9" w:rsidRDefault="00B24691" w:rsidP="00AE2E4C">
      <w:pPr>
        <w:spacing w:before="120" w:after="120" w:line="240" w:lineRule="auto"/>
        <w:ind w:firstLine="709"/>
        <w:jc w:val="both"/>
        <w:rPr>
          <w:rFonts w:cs="Times New Roman"/>
          <w:szCs w:val="28"/>
        </w:rPr>
      </w:pPr>
      <w:r>
        <w:rPr>
          <w:rFonts w:cs="Times New Roman"/>
          <w:b/>
          <w:szCs w:val="28"/>
        </w:rPr>
        <w:t xml:space="preserve">1. </w:t>
      </w:r>
      <w:r w:rsidR="00410DDA" w:rsidRPr="0066765B">
        <w:rPr>
          <w:rFonts w:cs="Times New Roman"/>
          <w:b/>
          <w:szCs w:val="28"/>
        </w:rPr>
        <w:t>Ủy ban nhân dân huyện; Ủy ban Mặt trận Tổ quốc Việt Nam và các tổ chức chính trị-xã hội huyên; các chi bộ, Đảng bộ trực thuộc Huyện ủy</w:t>
      </w:r>
      <w:r w:rsidR="00C85191">
        <w:rPr>
          <w:b/>
          <w:szCs w:val="28"/>
          <w:lang w:val="nl-NL"/>
        </w:rPr>
        <w:t xml:space="preserve">: </w:t>
      </w:r>
      <w:r w:rsidR="00C85191">
        <w:rPr>
          <w:bCs/>
          <w:szCs w:val="28"/>
          <w:lang w:val="nl-NL"/>
        </w:rPr>
        <w:t>T</w:t>
      </w:r>
      <w:r w:rsidR="00D170D9" w:rsidRPr="00D170D9">
        <w:rPr>
          <w:rFonts w:cs="Times New Roman"/>
          <w:szCs w:val="28"/>
        </w:rPr>
        <w:t>ổ chức phổ biến, quán triệt, tuyên truyền Chỉ thị số 39-CT/TW và Kết luận số 103-KL/TW đến cán bộ, đảng viên và Nhân dân bằng các hình thức phù hợp với điều kiện thực tế tại đị</w:t>
      </w:r>
      <w:r w:rsidR="00AE2E4C">
        <w:rPr>
          <w:rFonts w:cs="Times New Roman"/>
          <w:szCs w:val="28"/>
        </w:rPr>
        <w:t>a phương.</w:t>
      </w:r>
    </w:p>
    <w:p w14:paraId="17264C28" w14:textId="3BD5FE6E" w:rsidR="00D170D9" w:rsidRPr="00D170D9" w:rsidRDefault="009532CB" w:rsidP="00AE2E4C">
      <w:pPr>
        <w:spacing w:before="120" w:after="120" w:line="240" w:lineRule="auto"/>
        <w:ind w:firstLine="709"/>
        <w:jc w:val="both"/>
        <w:rPr>
          <w:rFonts w:cs="Times New Roman"/>
          <w:szCs w:val="28"/>
        </w:rPr>
      </w:pPr>
      <w:r>
        <w:rPr>
          <w:rFonts w:cs="Times New Roman"/>
          <w:b/>
          <w:szCs w:val="28"/>
        </w:rPr>
        <w:t xml:space="preserve">* </w:t>
      </w:r>
      <w:r w:rsidR="00D170D9" w:rsidRPr="00D170D9">
        <w:rPr>
          <w:rFonts w:cs="Times New Roman"/>
          <w:szCs w:val="28"/>
        </w:rPr>
        <w:t>Đối với Chỉ thị số 39-CT/TW cần tập trung, nhấn mạnh các nội dung:</w:t>
      </w:r>
    </w:p>
    <w:p w14:paraId="334451AE" w14:textId="77777777" w:rsidR="00D170D9" w:rsidRPr="00D170D9" w:rsidRDefault="00D170D9" w:rsidP="00AE2E4C">
      <w:pPr>
        <w:spacing w:before="120" w:after="120" w:line="240" w:lineRule="auto"/>
        <w:ind w:firstLine="709"/>
        <w:jc w:val="both"/>
        <w:rPr>
          <w:rFonts w:cs="Times New Roman"/>
          <w:szCs w:val="28"/>
        </w:rPr>
      </w:pPr>
      <w:r w:rsidRPr="00D170D9">
        <w:rPr>
          <w:rFonts w:cs="Times New Roman"/>
          <w:szCs w:val="28"/>
        </w:rPr>
        <w:t>- Các quan điểm chỉ đạo của Trung ương Đảng, của tỉnh về tín dụng chính sách xã hội trong giai đoạn mới, nhất là các quan điểm: Tín dụng chính sách xã hội là một giải pháp sáng tạo, có tính nhân văn sâu sắc, góp phần quan trọng bảo đảm định hướng xã hội chủ nghĩa trong thực hiện các chương trình mục tiêu quốc gia, các chính sách an sinh xã hội, phát triển kinh tế - xã hội của đất nước; đổi mới, nâng cao hiệu quả tín dụng chính sách xã hội theo hướng sáng tạo, bao trùm, phát triển kinh tế gắn với phát triển xã hội, tăng trưởng kinh tế đi đôi với thực hiện tiến bộ và công bằng xã hội; lấy con người làm trung tâm; là công cụ kinh tế thực hiện</w:t>
      </w:r>
      <w:r w:rsidR="00EB7DA2">
        <w:rPr>
          <w:rFonts w:cs="Times New Roman"/>
          <w:szCs w:val="28"/>
        </w:rPr>
        <w:t xml:space="preserve"> </w:t>
      </w:r>
      <w:r w:rsidRPr="00D170D9">
        <w:rPr>
          <w:rFonts w:cs="Times New Roman"/>
          <w:szCs w:val="28"/>
        </w:rPr>
        <w:t>vai trò điều tiết của Nhà nước trong nền kinh tế thị trường định hướng xã hội chủ nghĩa; là động lực, nguồn lực để những người thụ hưởng chính sách xã hội tích cực, chủ động tham gia phát triển sản xuất, kinh doanh, cải thiện cuộc sống.</w:t>
      </w:r>
    </w:p>
    <w:p w14:paraId="5EFE4E0F" w14:textId="77777777" w:rsidR="00D170D9" w:rsidRPr="00D170D9" w:rsidRDefault="00EB7DA2" w:rsidP="00AE2E4C">
      <w:pPr>
        <w:spacing w:before="120" w:after="120" w:line="240" w:lineRule="auto"/>
        <w:ind w:firstLine="709"/>
        <w:jc w:val="both"/>
        <w:rPr>
          <w:rFonts w:cs="Times New Roman"/>
          <w:szCs w:val="28"/>
        </w:rPr>
      </w:pPr>
      <w:r>
        <w:rPr>
          <w:rFonts w:cs="Times New Roman"/>
          <w:szCs w:val="28"/>
        </w:rPr>
        <w:t xml:space="preserve">- </w:t>
      </w:r>
      <w:r w:rsidR="00D170D9" w:rsidRPr="00D170D9">
        <w:rPr>
          <w:rFonts w:cs="Times New Roman"/>
          <w:szCs w:val="28"/>
        </w:rPr>
        <w:t xml:space="preserve">Khẳng định vai trò, trách nhiệm của cấp ủy, tổ chức đảng, chính quyền, Mặt trận Tổ quốc Việt Nam, các tổ chức chính trị - xã hội trong việc triển khai nâng cao hiệu quả hoạt động tín dụng xã hội gắn quy hoạch, kế hoạch phát triển kinh tế - xã hội của địa phương, đơn vị và chiến lược phát triển kinh tế - xã hội 10 năm 2021 2030, trong đó tập trung một số nội dung như: Tầm quan trọng, vai trò, ý nghĩa, tính chất của hoạt động tín dụng chính sách xã hội; khẳng định hoạt động tín dụng chính sách xã hội là một trong những minh chứng thể hiện tính ưu việt của chế độ xã hội </w:t>
      </w:r>
      <w:r w:rsidR="00D170D9" w:rsidRPr="00D170D9">
        <w:rPr>
          <w:rFonts w:cs="Times New Roman"/>
          <w:szCs w:val="28"/>
        </w:rPr>
        <w:lastRenderedPageBreak/>
        <w:t>chủ nghĩa, góp phần xóa đói, giảm nghèo, bảo đảm an sinh xã hội; phạm vi, quy mô, đối tượng và hạn mức cho vay ngày càng được mở rộng; thời hạn vay phù hợp với tình hình thực tiễn, chú trọng cung cấp tín dụng cho các đối tượng bị ảnh hưởng bởi thiên tai, dịch bệnh, học sinh, sinh viên nghèo và các trường hợp khẩn cấp khác. Thực hiện mức ưu đãi cao nhất dành cho hộ nghèo, hộ đồng bào dân tộc thiểu số, vùng khó khăn, vùng dân tộc thiểu số và miền núi, hộ cận nghèo và hộ mới thoát nghèo... Tăng cường chính sách hỗ trợ tín dụng đối với hoạt động sản xuất theo chuỗi, liên kết hợp tác nhằm thay đổi phương thức sản xuất, tăng hiệu quả sử dụng vốn cho người nghèo; gắn kết với Chương trình mục tiêu quốc gia về giảm nghèo bền vững. Huy động, quản lý và sử dụng vốn tín dụng chính sách xã hội đúng mục đích, hiệu quả, theo đúng quy định của pháp luật, trong đó nguồn lực của Nhà nước đóng vai trò chủ đạo, nguồn lực của xã hội là quan trọng; kết hợp nguồn lực trong nước và nước ngoài; kiểm soát và phòng ngừa rủi ro có thể ảnh hưởng đến khả năng thanh toán, hiệu quả hoạt động của Ngân hàng Chính sách xã hội.</w:t>
      </w:r>
    </w:p>
    <w:p w14:paraId="5D058B16" w14:textId="77777777" w:rsidR="00AE2E4C" w:rsidRDefault="00D170D9" w:rsidP="00AE2E4C">
      <w:pPr>
        <w:spacing w:before="120" w:after="120" w:line="240" w:lineRule="auto"/>
        <w:ind w:firstLine="709"/>
        <w:jc w:val="both"/>
        <w:rPr>
          <w:rFonts w:cs="Times New Roman"/>
          <w:szCs w:val="28"/>
        </w:rPr>
      </w:pPr>
      <w:r w:rsidRPr="00D170D9">
        <w:rPr>
          <w:rFonts w:cs="Times New Roman"/>
          <w:szCs w:val="28"/>
        </w:rPr>
        <w:t>- Tuyên truyền các chủ trương của Đảng, chính sách, pháp luật của Nhà nước về tín dụng chính sách xã hội, phản ánh các hoạt động triển khai, cách tháo gỡ những bất cập và kết quả triển khai nhiệm vụ trong công tác tín dụng chính sách xã hội của các cấp, các ngành, địa phương. Việc triển khai phong trào thi đua chung tay xóa nhà tạm, nhà dột nát; chung tay vì người nghèo - không để ai bị bỏ lại phía sau; đóng góp ủng hộ Quỹ “Vì người nghèo” để bổ sung vào nguồn vốn tín dụng chính sách xã hội đáp ứng yêu cầu phát triển đất nước.</w:t>
      </w:r>
    </w:p>
    <w:p w14:paraId="38B5AB93" w14:textId="77777777" w:rsidR="00D170D9" w:rsidRPr="00D170D9" w:rsidRDefault="00D170D9" w:rsidP="00AE2E4C">
      <w:pPr>
        <w:spacing w:before="120" w:after="120" w:line="240" w:lineRule="auto"/>
        <w:ind w:firstLine="709"/>
        <w:jc w:val="both"/>
        <w:rPr>
          <w:rFonts w:cs="Times New Roman"/>
          <w:szCs w:val="28"/>
        </w:rPr>
      </w:pPr>
      <w:r w:rsidRPr="00D170D9">
        <w:rPr>
          <w:rFonts w:cs="Times New Roman"/>
          <w:szCs w:val="28"/>
        </w:rPr>
        <w:t>- Biểu dương, khen thưởng các tập thể, cá nhân có thành tích xuất sắc trong công tác tín dụng chính sách xã hội, thực hiện ứng dụng khoa học, công nghệ, thúc đẩy chuyển đổi số trong lĩnh vực tín dụng chính sách xã hội.</w:t>
      </w:r>
    </w:p>
    <w:p w14:paraId="2C84056A" w14:textId="77777777" w:rsidR="00D170D9" w:rsidRPr="00D170D9" w:rsidRDefault="00D170D9" w:rsidP="00AE2E4C">
      <w:pPr>
        <w:spacing w:before="120" w:after="120" w:line="240" w:lineRule="auto"/>
        <w:ind w:firstLine="709"/>
        <w:jc w:val="both"/>
        <w:rPr>
          <w:rFonts w:cs="Times New Roman"/>
          <w:szCs w:val="28"/>
        </w:rPr>
      </w:pPr>
      <w:r w:rsidRPr="00D170D9">
        <w:rPr>
          <w:rFonts w:cs="Times New Roman"/>
          <w:szCs w:val="28"/>
        </w:rPr>
        <w:t>- Phê phán, đấu tranh, kiên quyết xử lý các hành vi vi phạm pháp luật, tham nhũng, lãng phí, tiêu cực liên quan đến hoạt động tín dụng chính sách xã hội; đấu tranh, phản bác các quan điểm sai trái, thù địch, xuyên tạc, chống phá chủ trương</w:t>
      </w:r>
      <w:r w:rsidR="00EB7DA2">
        <w:rPr>
          <w:rFonts w:cs="Times New Roman"/>
          <w:szCs w:val="28"/>
        </w:rPr>
        <w:t xml:space="preserve"> </w:t>
      </w:r>
      <w:r w:rsidRPr="00D170D9">
        <w:rPr>
          <w:rFonts w:cs="Times New Roman"/>
          <w:szCs w:val="28"/>
        </w:rPr>
        <w:t>của Đảng, chính sách, pháp luật của Nhà nước về công tác tín dụng chính sách xã hội, gây cản trở, ảnh hưởng đến việc thực hiện các chương trình mục tiêu quốc gia, các chính sách an sinh xã hội, phát triển kinh tế - xã hội của đất nước.</w:t>
      </w:r>
    </w:p>
    <w:p w14:paraId="5FD07345" w14:textId="461548D7" w:rsidR="002D0956" w:rsidRDefault="009532CB" w:rsidP="00BF0764">
      <w:pPr>
        <w:spacing w:before="120" w:after="120" w:line="240" w:lineRule="auto"/>
        <w:ind w:firstLine="709"/>
        <w:jc w:val="both"/>
        <w:rPr>
          <w:rFonts w:cs="Times New Roman"/>
          <w:szCs w:val="28"/>
        </w:rPr>
      </w:pPr>
      <w:r>
        <w:rPr>
          <w:rFonts w:cs="Times New Roman"/>
          <w:b/>
          <w:szCs w:val="28"/>
        </w:rPr>
        <w:t xml:space="preserve">* </w:t>
      </w:r>
      <w:r w:rsidR="00D170D9" w:rsidRPr="00D170D9">
        <w:rPr>
          <w:rFonts w:cs="Times New Roman"/>
          <w:szCs w:val="28"/>
        </w:rPr>
        <w:t xml:space="preserve">Đối với Kết luận số 103-KL/TW cần tập trung vào một số nội dung: </w:t>
      </w:r>
      <w:r w:rsidR="00D170D9" w:rsidRPr="004971E1">
        <w:rPr>
          <w:rFonts w:cs="Times New Roman"/>
          <w:b/>
          <w:szCs w:val="28"/>
        </w:rPr>
        <w:t>(1)</w:t>
      </w:r>
      <w:r w:rsidR="00D170D9" w:rsidRPr="00D170D9">
        <w:rPr>
          <w:rFonts w:cs="Times New Roman"/>
          <w:szCs w:val="28"/>
        </w:rPr>
        <w:t xml:space="preserve"> Những kết quả đạt được, hạn chế và nguyên nhân sau 10 năm thực hiện Nghị quyết số 30-NQ/TW, ngày 12-3-2014 của Bộ Chính trị về tiếp tục sắp xếp, đổi mới và phát triển, nâng cao hiệu quả hoạt động của công ty nông, lâm nghiệp”; </w:t>
      </w:r>
      <w:r w:rsidR="00D170D9" w:rsidRPr="004971E1">
        <w:rPr>
          <w:rFonts w:cs="Times New Roman"/>
          <w:b/>
          <w:szCs w:val="28"/>
        </w:rPr>
        <w:t>(2)</w:t>
      </w:r>
      <w:r w:rsidR="00D170D9" w:rsidRPr="00D170D9">
        <w:rPr>
          <w:rFonts w:cs="Times New Roman"/>
          <w:szCs w:val="28"/>
        </w:rPr>
        <w:t xml:space="preserve"> Một số giải pháp, nội dung trọng tâm để tiếp tục thực hiện hiệu quả Nghị quyết số 30NQ/TW trong thời gian tới.</w:t>
      </w:r>
    </w:p>
    <w:p w14:paraId="00805B4C" w14:textId="1B114DED" w:rsidR="00513701" w:rsidRPr="00513701" w:rsidRDefault="009532CB" w:rsidP="00AE2E4C">
      <w:pPr>
        <w:spacing w:before="120" w:after="120" w:line="240" w:lineRule="auto"/>
        <w:ind w:firstLine="720"/>
        <w:jc w:val="both"/>
        <w:rPr>
          <w:rFonts w:eastAsia="Times New Roman" w:cs="Times New Roman"/>
          <w:b/>
          <w:szCs w:val="28"/>
        </w:rPr>
      </w:pPr>
      <w:r>
        <w:rPr>
          <w:rFonts w:cs="Times New Roman"/>
          <w:b/>
          <w:szCs w:val="28"/>
        </w:rPr>
        <w:t>2</w:t>
      </w:r>
      <w:r w:rsidR="004971E1" w:rsidRPr="00B24691">
        <w:rPr>
          <w:rFonts w:cs="Times New Roman"/>
          <w:b/>
          <w:szCs w:val="28"/>
        </w:rPr>
        <w:t>.</w:t>
      </w:r>
      <w:r w:rsidR="004971E1" w:rsidRPr="004971E1">
        <w:rPr>
          <w:rFonts w:eastAsia="Times New Roman" w:cs="Times New Roman"/>
          <w:b/>
          <w:szCs w:val="28"/>
        </w:rPr>
        <w:t xml:space="preserve"> </w:t>
      </w:r>
      <w:r w:rsidR="00513701">
        <w:rPr>
          <w:rFonts w:eastAsia="Times New Roman" w:cs="Times New Roman"/>
          <w:b/>
          <w:szCs w:val="28"/>
        </w:rPr>
        <w:t xml:space="preserve">Thời gian phổ biến, quán triệt: </w:t>
      </w:r>
      <w:r w:rsidR="00513701" w:rsidRPr="00513701">
        <w:rPr>
          <w:rFonts w:eastAsia="Times New Roman" w:cs="Times New Roman"/>
          <w:bCs/>
          <w:szCs w:val="28"/>
        </w:rPr>
        <w:t xml:space="preserve">Các đơn vị, địa phương hoàn thành vào báo cáo về Ban Thường vụ Huyện ủy </w:t>
      </w:r>
      <w:r w:rsidR="00513701" w:rsidRPr="00513701">
        <w:rPr>
          <w:rFonts w:eastAsia="Times New Roman" w:cs="Times New Roman"/>
          <w:bCs/>
          <w:i/>
          <w:iCs/>
          <w:szCs w:val="28"/>
        </w:rPr>
        <w:t>(qua Ban Tuyên giáo Huyện ủy)</w:t>
      </w:r>
      <w:r w:rsidR="00513701" w:rsidRPr="00513701">
        <w:rPr>
          <w:rFonts w:eastAsia="Times New Roman" w:cs="Times New Roman"/>
          <w:bCs/>
          <w:szCs w:val="28"/>
        </w:rPr>
        <w:t xml:space="preserve"> </w:t>
      </w:r>
      <w:r w:rsidR="00513701" w:rsidRPr="00513701">
        <w:rPr>
          <w:rFonts w:cs="Times New Roman"/>
          <w:bCs/>
          <w:szCs w:val="28"/>
        </w:rPr>
        <w:t xml:space="preserve">trước </w:t>
      </w:r>
      <w:r w:rsidR="00513701" w:rsidRPr="00513701">
        <w:rPr>
          <w:rFonts w:cs="Times New Roman"/>
          <w:b/>
          <w:szCs w:val="28"/>
        </w:rPr>
        <w:t>ngày 15-01-2025</w:t>
      </w:r>
      <w:r w:rsidR="00513701">
        <w:rPr>
          <w:rFonts w:cs="Times New Roman"/>
          <w:b/>
          <w:szCs w:val="28"/>
        </w:rPr>
        <w:t>.</w:t>
      </w:r>
    </w:p>
    <w:p w14:paraId="5AE30E02" w14:textId="5A3D02D1" w:rsidR="004971E1" w:rsidRDefault="00513701" w:rsidP="00AE2E4C">
      <w:pPr>
        <w:spacing w:before="120" w:after="120" w:line="240" w:lineRule="auto"/>
        <w:ind w:firstLine="720"/>
        <w:jc w:val="both"/>
        <w:rPr>
          <w:noProof/>
          <w:szCs w:val="28"/>
          <w:lang w:val="nl-NL"/>
        </w:rPr>
      </w:pPr>
      <w:r>
        <w:rPr>
          <w:rFonts w:eastAsia="Times New Roman" w:cs="Times New Roman"/>
          <w:b/>
          <w:bCs/>
          <w:szCs w:val="28"/>
        </w:rPr>
        <w:t xml:space="preserve">3. </w:t>
      </w:r>
      <w:r w:rsidR="004971E1" w:rsidRPr="004971E1">
        <w:rPr>
          <w:rFonts w:eastAsia="Times New Roman" w:cs="Times New Roman"/>
          <w:b/>
          <w:bCs/>
          <w:szCs w:val="28"/>
        </w:rPr>
        <w:t>Giao Ban Tuyên giáo Huyện ủy</w:t>
      </w:r>
      <w:r w:rsidR="004971E1" w:rsidRPr="004971E1">
        <w:rPr>
          <w:rFonts w:eastAsia="Times New Roman" w:cs="Times New Roman"/>
          <w:szCs w:val="28"/>
        </w:rPr>
        <w:t xml:space="preserve">: </w:t>
      </w:r>
      <w:r w:rsidR="00B24691">
        <w:rPr>
          <w:rFonts w:eastAsia="Times New Roman" w:cs="Times New Roman"/>
          <w:szCs w:val="28"/>
        </w:rPr>
        <w:t>Chỉ đạo</w:t>
      </w:r>
      <w:r w:rsidR="004971E1" w:rsidRPr="004971E1">
        <w:rPr>
          <w:rFonts w:eastAsia="Times New Roman" w:cs="Times New Roman"/>
          <w:szCs w:val="28"/>
        </w:rPr>
        <w:t xml:space="preserve">, </w:t>
      </w:r>
      <w:r w:rsidR="00B24691" w:rsidRPr="004971E1">
        <w:rPr>
          <w:rFonts w:eastAsia="Times New Roman" w:cs="Times New Roman"/>
          <w:szCs w:val="28"/>
        </w:rPr>
        <w:t>theo dõi, đôn đốc, kiểm tra việc thực hiện</w:t>
      </w:r>
      <w:r w:rsidR="00B24691">
        <w:rPr>
          <w:rFonts w:eastAsia="Times New Roman" w:cs="Times New Roman"/>
          <w:szCs w:val="28"/>
        </w:rPr>
        <w:t xml:space="preserve"> </w:t>
      </w:r>
      <w:r>
        <w:rPr>
          <w:noProof/>
          <w:szCs w:val="28"/>
          <w:lang w:val="nl-NL"/>
        </w:rPr>
        <w:t>và</w:t>
      </w:r>
      <w:r w:rsidR="00B24691">
        <w:rPr>
          <w:noProof/>
          <w:szCs w:val="28"/>
          <w:lang w:val="nl-NL"/>
        </w:rPr>
        <w:t xml:space="preserve"> tổng hợp báo cáo gửi về </w:t>
      </w:r>
      <w:r>
        <w:rPr>
          <w:noProof/>
          <w:szCs w:val="28"/>
          <w:lang w:val="nl-NL"/>
        </w:rPr>
        <w:t>Thường trực</w:t>
      </w:r>
      <w:r w:rsidR="00B24691">
        <w:rPr>
          <w:noProof/>
          <w:szCs w:val="28"/>
          <w:lang w:val="nl-NL"/>
        </w:rPr>
        <w:t xml:space="preserve"> Huyện ủy </w:t>
      </w:r>
      <w:r>
        <w:rPr>
          <w:noProof/>
          <w:szCs w:val="28"/>
          <w:lang w:val="nl-NL"/>
        </w:rPr>
        <w:t xml:space="preserve">và Ban Tuyên giáo Tỉnh ủy </w:t>
      </w:r>
      <w:r w:rsidR="00B24691">
        <w:rPr>
          <w:noProof/>
          <w:szCs w:val="28"/>
          <w:lang w:val="nl-NL"/>
        </w:rPr>
        <w:t xml:space="preserve">trước </w:t>
      </w:r>
      <w:r w:rsidR="00B24691" w:rsidRPr="00513701">
        <w:rPr>
          <w:b/>
          <w:bCs/>
          <w:noProof/>
          <w:szCs w:val="28"/>
          <w:lang w:val="nl-NL"/>
        </w:rPr>
        <w:t xml:space="preserve">ngày </w:t>
      </w:r>
      <w:r w:rsidR="004222E8" w:rsidRPr="00513701">
        <w:rPr>
          <w:b/>
          <w:bCs/>
          <w:noProof/>
          <w:szCs w:val="28"/>
          <w:lang w:val="nl-NL"/>
        </w:rPr>
        <w:t>20</w:t>
      </w:r>
      <w:r w:rsidR="00B24691" w:rsidRPr="00513701">
        <w:rPr>
          <w:b/>
          <w:bCs/>
          <w:noProof/>
          <w:szCs w:val="28"/>
          <w:lang w:val="nl-NL"/>
        </w:rPr>
        <w:t>-01-2025</w:t>
      </w:r>
      <w:r w:rsidR="004222E8" w:rsidRPr="00513701">
        <w:rPr>
          <w:b/>
          <w:bCs/>
          <w:noProof/>
          <w:szCs w:val="28"/>
          <w:lang w:val="nl-NL"/>
        </w:rPr>
        <w:t>.</w:t>
      </w:r>
    </w:p>
    <w:p w14:paraId="539D4ACD" w14:textId="5D07D1CA" w:rsidR="002D0956" w:rsidRPr="00BF0764" w:rsidRDefault="00513701" w:rsidP="00AE2E4C">
      <w:pPr>
        <w:spacing w:before="120" w:after="120" w:line="240" w:lineRule="auto"/>
        <w:ind w:firstLine="720"/>
        <w:jc w:val="both"/>
        <w:rPr>
          <w:rFonts w:eastAsia="Times New Roman" w:cs="Times New Roman"/>
          <w:szCs w:val="28"/>
        </w:rPr>
      </w:pPr>
      <w:r>
        <w:rPr>
          <w:rFonts w:cs="Times New Roman"/>
          <w:szCs w:val="28"/>
        </w:rPr>
        <w:lastRenderedPageBreak/>
        <w:t>N</w:t>
      </w:r>
      <w:r w:rsidR="00BF0764" w:rsidRPr="00BF0764">
        <w:rPr>
          <w:rFonts w:cs="Times New Roman"/>
          <w:szCs w:val="28"/>
        </w:rPr>
        <w:t xml:space="preserve">ội dung Chỉ thị số 39-CT/TW và Kết luận số 103-KL/TW </w:t>
      </w:r>
      <w:r w:rsidR="00211C49">
        <w:rPr>
          <w:rFonts w:cs="Times New Roman"/>
          <w:szCs w:val="28"/>
        </w:rPr>
        <w:t>được đăng trê</w:t>
      </w:r>
      <w:r w:rsidR="00472905">
        <w:rPr>
          <w:rFonts w:cs="Times New Roman"/>
          <w:szCs w:val="28"/>
        </w:rPr>
        <w:t>n</w:t>
      </w:r>
      <w:r w:rsidR="00BF0764">
        <w:rPr>
          <w:rFonts w:cs="Times New Roman"/>
          <w:szCs w:val="28"/>
        </w:rPr>
        <w:t xml:space="preserve"> Trang Thông tin điện tử của huyện tại mục </w:t>
      </w:r>
      <w:r w:rsidR="00BF0764" w:rsidRPr="004222E8">
        <w:rPr>
          <w:rFonts w:cs="Times New Roman"/>
          <w:b/>
          <w:szCs w:val="28"/>
        </w:rPr>
        <w:t>(Văn bản tuyên truyền)</w:t>
      </w:r>
    </w:p>
    <w:p w14:paraId="544B7FC6" w14:textId="3445AC5B" w:rsidR="00AE2E4C" w:rsidRDefault="00AE2E4C" w:rsidP="00BF0764">
      <w:pPr>
        <w:spacing w:before="120" w:after="120" w:line="240" w:lineRule="auto"/>
        <w:ind w:firstLine="720"/>
        <w:jc w:val="both"/>
        <w:rPr>
          <w:rFonts w:cs="Times New Roman"/>
          <w:szCs w:val="28"/>
        </w:rPr>
      </w:pPr>
    </w:p>
    <w:tbl>
      <w:tblPr>
        <w:tblW w:w="9489" w:type="dxa"/>
        <w:tblInd w:w="108" w:type="dxa"/>
        <w:tblLook w:val="01E0" w:firstRow="1" w:lastRow="1" w:firstColumn="1" w:lastColumn="1" w:noHBand="0" w:noVBand="0"/>
      </w:tblPr>
      <w:tblGrid>
        <w:gridCol w:w="5688"/>
        <w:gridCol w:w="3801"/>
      </w:tblGrid>
      <w:tr w:rsidR="00AE2E4C" w:rsidRPr="00E4755D" w14:paraId="368295BC" w14:textId="77777777" w:rsidTr="0015235D">
        <w:trPr>
          <w:trHeight w:val="80"/>
        </w:trPr>
        <w:tc>
          <w:tcPr>
            <w:tcW w:w="5688" w:type="dxa"/>
            <w:hideMark/>
          </w:tcPr>
          <w:p w14:paraId="6F71BEF2" w14:textId="77777777" w:rsidR="00AE2E4C" w:rsidRPr="008A0808" w:rsidRDefault="00AE2E4C" w:rsidP="00AE2E4C">
            <w:pPr>
              <w:spacing w:after="0"/>
              <w:rPr>
                <w:color w:val="000000"/>
                <w:szCs w:val="28"/>
                <w:u w:val="single"/>
              </w:rPr>
            </w:pPr>
            <w:r w:rsidRPr="008A0808">
              <w:rPr>
                <w:color w:val="000000"/>
                <w:szCs w:val="28"/>
                <w:u w:val="single"/>
                <w:lang w:val="vi-VN"/>
              </w:rPr>
              <w:t>Nơi nhận:</w:t>
            </w:r>
          </w:p>
          <w:p w14:paraId="0510F057" w14:textId="677D1AF3" w:rsidR="00AE2E4C" w:rsidRPr="00211C49" w:rsidRDefault="00AE2E4C" w:rsidP="00211C49">
            <w:pPr>
              <w:spacing w:after="0"/>
              <w:rPr>
                <w:color w:val="000000"/>
                <w:sz w:val="24"/>
                <w:szCs w:val="24"/>
                <w:lang w:eastAsia="vi-VN"/>
              </w:rPr>
            </w:pPr>
            <w:r w:rsidRPr="00AE2E4C">
              <w:rPr>
                <w:color w:val="000000"/>
                <w:sz w:val="24"/>
                <w:szCs w:val="24"/>
              </w:rPr>
              <w:t>- Như trên,</w:t>
            </w:r>
          </w:p>
          <w:p w14:paraId="75E0EB48" w14:textId="77777777" w:rsidR="00AE2E4C" w:rsidRPr="00AE2E4C" w:rsidRDefault="00AE2E4C" w:rsidP="00AE2E4C">
            <w:pPr>
              <w:spacing w:after="0"/>
              <w:rPr>
                <w:color w:val="000000"/>
                <w:sz w:val="24"/>
                <w:szCs w:val="24"/>
                <w:lang w:val="vi-VN"/>
              </w:rPr>
            </w:pPr>
            <w:r w:rsidRPr="00AE2E4C">
              <w:rPr>
                <w:color w:val="000000"/>
                <w:sz w:val="24"/>
                <w:szCs w:val="24"/>
                <w:lang w:val="vi-VN"/>
              </w:rPr>
              <w:t>- Thường trực Huyện ủy,</w:t>
            </w:r>
          </w:p>
          <w:p w14:paraId="50AF1367" w14:textId="77777777" w:rsidR="00AE2E4C" w:rsidRDefault="00AE2E4C" w:rsidP="00AE2E4C">
            <w:pPr>
              <w:spacing w:after="0"/>
              <w:rPr>
                <w:color w:val="000000"/>
                <w:lang w:val="vi-VN" w:eastAsia="vi-VN"/>
              </w:rPr>
            </w:pPr>
            <w:r w:rsidRPr="00AE2E4C">
              <w:rPr>
                <w:color w:val="000000"/>
                <w:sz w:val="24"/>
                <w:szCs w:val="24"/>
                <w:lang w:val="vi-VN"/>
              </w:rPr>
              <w:t>- Lưu V</w:t>
            </w:r>
            <w:r w:rsidRPr="00AE2E4C">
              <w:rPr>
                <w:color w:val="000000"/>
                <w:sz w:val="24"/>
                <w:szCs w:val="24"/>
              </w:rPr>
              <w:t>P+BTGHU</w:t>
            </w:r>
            <w:r w:rsidRPr="00AE2E4C">
              <w:rPr>
                <w:color w:val="000000"/>
                <w:sz w:val="24"/>
                <w:szCs w:val="24"/>
                <w:lang w:val="vi-VN"/>
              </w:rPr>
              <w:t>.</w:t>
            </w:r>
          </w:p>
        </w:tc>
        <w:tc>
          <w:tcPr>
            <w:tcW w:w="3801" w:type="dxa"/>
          </w:tcPr>
          <w:p w14:paraId="67884622" w14:textId="77777777" w:rsidR="00AE2E4C" w:rsidRPr="00E4755D" w:rsidRDefault="00AE2E4C" w:rsidP="00AE2E4C">
            <w:pPr>
              <w:spacing w:after="0"/>
              <w:jc w:val="center"/>
              <w:rPr>
                <w:color w:val="000000"/>
                <w:szCs w:val="28"/>
                <w:lang w:val="vi-VN"/>
              </w:rPr>
            </w:pPr>
            <w:r w:rsidRPr="00E4755D">
              <w:rPr>
                <w:b/>
                <w:color w:val="000000"/>
                <w:szCs w:val="28"/>
                <w:lang w:val="vi-VN"/>
              </w:rPr>
              <w:t xml:space="preserve">        </w:t>
            </w:r>
            <w:r w:rsidRPr="00E4755D">
              <w:rPr>
                <w:b/>
                <w:color w:val="000000"/>
                <w:szCs w:val="28"/>
              </w:rPr>
              <w:t>T/M BAN THƯỜNG VỤ</w:t>
            </w:r>
          </w:p>
          <w:p w14:paraId="71F77FE2" w14:textId="77777777" w:rsidR="00AE2E4C" w:rsidRPr="00E4755D" w:rsidRDefault="00AE2E4C" w:rsidP="00AE2E4C">
            <w:pPr>
              <w:spacing w:after="0"/>
              <w:jc w:val="center"/>
              <w:rPr>
                <w:color w:val="000000"/>
                <w:szCs w:val="28"/>
                <w:lang w:val="en-GB"/>
              </w:rPr>
            </w:pPr>
            <w:r>
              <w:rPr>
                <w:color w:val="000000"/>
              </w:rPr>
              <w:t xml:space="preserve">      </w:t>
            </w:r>
            <w:r w:rsidRPr="00E4755D">
              <w:rPr>
                <w:color w:val="000000"/>
                <w:szCs w:val="28"/>
              </w:rPr>
              <w:t>PHÓ BÍ THƯ</w:t>
            </w:r>
          </w:p>
          <w:p w14:paraId="3EF1F2C5" w14:textId="77777777" w:rsidR="00AE2E4C" w:rsidRDefault="00AE2E4C" w:rsidP="00AE2E4C">
            <w:pPr>
              <w:spacing w:after="0"/>
              <w:jc w:val="center"/>
              <w:rPr>
                <w:color w:val="000000"/>
              </w:rPr>
            </w:pPr>
          </w:p>
          <w:p w14:paraId="62FB382C" w14:textId="77777777" w:rsidR="00AE2E4C" w:rsidRDefault="00AE2E4C" w:rsidP="00AE2E4C">
            <w:pPr>
              <w:spacing w:after="0"/>
              <w:jc w:val="center"/>
              <w:rPr>
                <w:color w:val="000000"/>
              </w:rPr>
            </w:pPr>
          </w:p>
          <w:p w14:paraId="5AA6CA32" w14:textId="77777777" w:rsidR="00AE2E4C" w:rsidRDefault="00AE2E4C" w:rsidP="00AE2E4C">
            <w:pPr>
              <w:spacing w:after="0"/>
              <w:jc w:val="center"/>
              <w:rPr>
                <w:b/>
                <w:color w:val="000000"/>
                <w:lang w:val="vi-VN"/>
              </w:rPr>
            </w:pPr>
          </w:p>
          <w:p w14:paraId="4BA7D4AD" w14:textId="77777777" w:rsidR="00AE2E4C" w:rsidRPr="00AE2E4C" w:rsidRDefault="00AE2E4C" w:rsidP="00AE2E4C">
            <w:pPr>
              <w:spacing w:after="0"/>
              <w:rPr>
                <w:b/>
                <w:color w:val="000000"/>
              </w:rPr>
            </w:pPr>
          </w:p>
          <w:p w14:paraId="0096DC00" w14:textId="77777777" w:rsidR="00AE2E4C" w:rsidRPr="00E4755D" w:rsidRDefault="00AE2E4C" w:rsidP="00AE2E4C">
            <w:pPr>
              <w:spacing w:after="0"/>
              <w:jc w:val="center"/>
              <w:rPr>
                <w:b/>
                <w:color w:val="000000"/>
                <w:szCs w:val="28"/>
                <w:lang w:val="en-GB"/>
              </w:rPr>
            </w:pPr>
            <w:r>
              <w:rPr>
                <w:b/>
                <w:color w:val="000000"/>
              </w:rPr>
              <w:t xml:space="preserve">    </w:t>
            </w:r>
            <w:r>
              <w:rPr>
                <w:b/>
                <w:color w:val="000000"/>
                <w:lang w:val="vi-VN"/>
              </w:rPr>
              <w:t xml:space="preserve">   </w:t>
            </w:r>
            <w:r w:rsidRPr="00E4755D">
              <w:rPr>
                <w:b/>
                <w:color w:val="000000"/>
                <w:szCs w:val="28"/>
              </w:rPr>
              <w:t>A Khiên</w:t>
            </w:r>
          </w:p>
        </w:tc>
      </w:tr>
    </w:tbl>
    <w:p w14:paraId="4AB72DCE" w14:textId="77777777" w:rsidR="00AE2E4C" w:rsidRDefault="00AE2E4C" w:rsidP="00AE2E4C">
      <w:pPr>
        <w:spacing w:before="120" w:after="120" w:line="240" w:lineRule="auto"/>
        <w:ind w:firstLine="720"/>
        <w:jc w:val="both"/>
        <w:rPr>
          <w:rFonts w:cs="Times New Roman"/>
          <w:szCs w:val="28"/>
        </w:rPr>
      </w:pPr>
    </w:p>
    <w:p w14:paraId="70651B57" w14:textId="77777777" w:rsidR="00D170D9" w:rsidRPr="00D170D9" w:rsidRDefault="00D170D9" w:rsidP="00D170D9">
      <w:pPr>
        <w:jc w:val="both"/>
        <w:rPr>
          <w:rFonts w:cs="Times New Roman"/>
          <w:szCs w:val="28"/>
        </w:rPr>
      </w:pPr>
    </w:p>
    <w:sectPr w:rsidR="00D170D9" w:rsidRPr="00D170D9" w:rsidSect="003C3DAB">
      <w:headerReference w:type="default" r:id="rId7"/>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4A04E" w14:textId="77777777" w:rsidR="00DD2384" w:rsidRDefault="00DD2384" w:rsidP="00410DDA">
      <w:pPr>
        <w:spacing w:after="0" w:line="240" w:lineRule="auto"/>
      </w:pPr>
      <w:r>
        <w:separator/>
      </w:r>
    </w:p>
  </w:endnote>
  <w:endnote w:type="continuationSeparator" w:id="0">
    <w:p w14:paraId="74D42164" w14:textId="77777777" w:rsidR="00DD2384" w:rsidRDefault="00DD2384" w:rsidP="0041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CC21" w14:textId="77777777" w:rsidR="00DD2384" w:rsidRDefault="00DD2384" w:rsidP="00410DDA">
      <w:pPr>
        <w:spacing w:after="0" w:line="240" w:lineRule="auto"/>
      </w:pPr>
      <w:r>
        <w:separator/>
      </w:r>
    </w:p>
  </w:footnote>
  <w:footnote w:type="continuationSeparator" w:id="0">
    <w:p w14:paraId="61AD033D" w14:textId="77777777" w:rsidR="00DD2384" w:rsidRDefault="00DD2384" w:rsidP="0041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710456"/>
      <w:docPartObj>
        <w:docPartGallery w:val="Page Numbers (Top of Page)"/>
        <w:docPartUnique/>
      </w:docPartObj>
    </w:sdtPr>
    <w:sdtEndPr>
      <w:rPr>
        <w:noProof/>
      </w:rPr>
    </w:sdtEndPr>
    <w:sdtContent>
      <w:p w14:paraId="651378A7" w14:textId="5B124440" w:rsidR="00211C49" w:rsidRDefault="00211C4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4F743E" w14:textId="3CECD77C" w:rsidR="00971E72" w:rsidRPr="00971E72" w:rsidRDefault="00971E72">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D9"/>
    <w:rsid w:val="001D580F"/>
    <w:rsid w:val="00211C49"/>
    <w:rsid w:val="00264228"/>
    <w:rsid w:val="00274286"/>
    <w:rsid w:val="002D0956"/>
    <w:rsid w:val="002F219C"/>
    <w:rsid w:val="00374529"/>
    <w:rsid w:val="003C3DAB"/>
    <w:rsid w:val="00410DDA"/>
    <w:rsid w:val="004222E8"/>
    <w:rsid w:val="00472905"/>
    <w:rsid w:val="004971E1"/>
    <w:rsid w:val="00513701"/>
    <w:rsid w:val="005F3886"/>
    <w:rsid w:val="0066765B"/>
    <w:rsid w:val="007315A4"/>
    <w:rsid w:val="007575C5"/>
    <w:rsid w:val="00900900"/>
    <w:rsid w:val="00944BB2"/>
    <w:rsid w:val="009532CB"/>
    <w:rsid w:val="00971E72"/>
    <w:rsid w:val="009C265B"/>
    <w:rsid w:val="00AE2E4C"/>
    <w:rsid w:val="00B24691"/>
    <w:rsid w:val="00BF0764"/>
    <w:rsid w:val="00C80DFC"/>
    <w:rsid w:val="00C85191"/>
    <w:rsid w:val="00CD715C"/>
    <w:rsid w:val="00D170D9"/>
    <w:rsid w:val="00D74994"/>
    <w:rsid w:val="00DD2384"/>
    <w:rsid w:val="00EB7DA2"/>
    <w:rsid w:val="00EE3B42"/>
    <w:rsid w:val="00FE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D156"/>
  <w15:docId w15:val="{467DB7D4-F232-43B5-A9ED-64EBA3F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0D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DDA"/>
    <w:rPr>
      <w:sz w:val="20"/>
      <w:szCs w:val="20"/>
    </w:rPr>
  </w:style>
  <w:style w:type="character" w:styleId="FootnoteReference">
    <w:name w:val="footnote reference"/>
    <w:basedOn w:val="DefaultParagraphFont"/>
    <w:uiPriority w:val="99"/>
    <w:semiHidden/>
    <w:unhideWhenUsed/>
    <w:rsid w:val="00410DDA"/>
    <w:rPr>
      <w:vertAlign w:val="superscript"/>
    </w:rPr>
  </w:style>
  <w:style w:type="paragraph" w:styleId="BodyTextIndent">
    <w:name w:val="Body Text Indent"/>
    <w:basedOn w:val="Normal"/>
    <w:link w:val="BodyTextIndentChar"/>
    <w:rsid w:val="00AE2E4C"/>
    <w:pPr>
      <w:spacing w:after="0" w:line="240" w:lineRule="auto"/>
      <w:ind w:firstLine="567"/>
    </w:pPr>
    <w:rPr>
      <w:rFonts w:eastAsia="Times New Roman" w:cs="Times New Roman"/>
      <w:szCs w:val="20"/>
    </w:rPr>
  </w:style>
  <w:style w:type="character" w:customStyle="1" w:styleId="BodyTextIndentChar">
    <w:name w:val="Body Text Indent Char"/>
    <w:basedOn w:val="DefaultParagraphFont"/>
    <w:link w:val="BodyTextIndent"/>
    <w:rsid w:val="00AE2E4C"/>
    <w:rPr>
      <w:rFonts w:eastAsia="Times New Roman" w:cs="Times New Roman"/>
      <w:szCs w:val="20"/>
    </w:rPr>
  </w:style>
  <w:style w:type="paragraph" w:styleId="Header">
    <w:name w:val="header"/>
    <w:basedOn w:val="Normal"/>
    <w:link w:val="HeaderChar"/>
    <w:uiPriority w:val="99"/>
    <w:unhideWhenUsed/>
    <w:rsid w:val="00AE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E4C"/>
  </w:style>
  <w:style w:type="paragraph" w:styleId="Footer">
    <w:name w:val="footer"/>
    <w:basedOn w:val="Normal"/>
    <w:link w:val="FooterChar"/>
    <w:uiPriority w:val="99"/>
    <w:unhideWhenUsed/>
    <w:rsid w:val="00AE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90B0-EE75-4315-899D-D8E6A051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 D M I N</cp:lastModifiedBy>
  <cp:revision>5</cp:revision>
  <dcterms:created xsi:type="dcterms:W3CDTF">2025-01-02T01:48:00Z</dcterms:created>
  <dcterms:modified xsi:type="dcterms:W3CDTF">2025-01-02T02:23:00Z</dcterms:modified>
</cp:coreProperties>
</file>